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4A35C7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Дядин Глеб Георгиевич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4A35C7" w:rsidRDefault="004A35C7" w:rsidP="00665C14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ggdyadin@okb1.ru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302893" w:rsidRDefault="00302893" w:rsidP="00E01B7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</w:t>
            </w:r>
            <w:r w:rsidR="00E01B73">
              <w:rPr>
                <w:rFonts w:ascii="Liberation Serif" w:hAnsi="Liberation Serif"/>
                <w:sz w:val="24"/>
              </w:rPr>
              <w:t>02-86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4A35C7" w:rsidRDefault="00CE21B4" w:rsidP="00031887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05.06</w:t>
            </w:r>
            <w:r w:rsidR="004A35C7">
              <w:rPr>
                <w:rFonts w:ascii="Liberation Serif" w:hAnsi="Liberation Serif"/>
                <w:sz w:val="24"/>
              </w:rPr>
              <w:t>.2020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окончания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3145EF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F80397">
      <w:pPr>
        <w:pStyle w:val="2"/>
        <w:ind w:firstLine="851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 w:rsidR="008D77C6">
        <w:rPr>
          <w:rFonts w:ascii="Liberation Serif" w:hAnsi="Liberation Serif"/>
          <w:sz w:val="28"/>
          <w:szCs w:val="28"/>
        </w:rPr>
        <w:t>:</w:t>
      </w:r>
    </w:p>
    <w:p w:rsidR="00F80397" w:rsidRPr="004C0229" w:rsidRDefault="00F80397" w:rsidP="004C0229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E21B4" w:rsidRPr="00AC1AE2" w:rsidRDefault="00CE21B4" w:rsidP="00CE21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AC1AE2">
        <w:rPr>
          <w:b/>
          <w:sz w:val="24"/>
          <w:szCs w:val="24"/>
        </w:rPr>
        <w:t>втоматический биохимический анализатор</w:t>
      </w:r>
      <w:r>
        <w:rPr>
          <w:b/>
          <w:sz w:val="24"/>
          <w:szCs w:val="24"/>
        </w:rPr>
        <w:t xml:space="preserve"> для ГКБ №14</w:t>
      </w:r>
    </w:p>
    <w:p w:rsidR="00CE21B4" w:rsidRPr="00AC1AE2" w:rsidRDefault="00CE21B4" w:rsidP="00CE21B4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4536"/>
      </w:tblGrid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CE21B4" w:rsidRDefault="00CE21B4" w:rsidP="002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21B4" w:rsidRPr="003530C2" w:rsidRDefault="00CE21B4" w:rsidP="0021155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параметра/функциональной характеристики</w:t>
            </w:r>
          </w:p>
        </w:tc>
        <w:tc>
          <w:tcPr>
            <w:tcW w:w="4536" w:type="dxa"/>
            <w:vAlign w:val="center"/>
          </w:tcPr>
          <w:p w:rsidR="00CE21B4" w:rsidRPr="003530C2" w:rsidRDefault="00CE21B4" w:rsidP="0021155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к параметру/функции 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CE21B4" w:rsidRPr="003530C2" w:rsidRDefault="00CE21B4" w:rsidP="0021155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</w:t>
            </w:r>
          </w:p>
        </w:tc>
        <w:tc>
          <w:tcPr>
            <w:tcW w:w="4536" w:type="dxa"/>
            <w:vAlign w:val="center"/>
          </w:tcPr>
          <w:p w:rsidR="00CE21B4" w:rsidRPr="003530C2" w:rsidRDefault="00CE21B4" w:rsidP="0021155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анализатора 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Автоматический, селективный, пациент за пациентом (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random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access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85 фотометрических тестов в час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Исследуемые жидкости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Сыворотка, плазма крови, цельная кровь, моча, спинномозговая жидкость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Фотометр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светофильтров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Сенсор 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Фоточувствительный диодный массив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Длины волн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340, 378, 409, 449, 480, 512, 520, 552, 583, 629, 652, 659 нм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измерения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потенциометрия;</w:t>
            </w:r>
          </w:p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фотометри</w:t>
            </w:r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Моно- и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би-хроматический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иммунотурбидиметрия</w:t>
            </w:r>
            <w:proofErr w:type="spellEnd"/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измерения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регулярных циклов, каждый длительностью 18 сек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реагентов на борту анализатора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27 позиций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Охлаждение реагентов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± 2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о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Реагентный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Съемный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Виртуальные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реагентные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диски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8 виртуальных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реагентых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дисков могут быть </w:t>
            </w:r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запрограммированы</w:t>
            </w:r>
            <w:proofErr w:type="gram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анализаторе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проб на борту анализатора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8 проб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Контейнеры для проб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Первичные и вторичные пробирки. Максимальная высота: 102 мм, минимальная высота: 70 мм, максимальный диаметр: 16,3 мм, 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минимальный диаметр: 11,8 мм.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Дозагрузка проб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остановки работы анализатора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анализы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функции экспресс анализа, без остановки работы анализатора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пробы на одно исследование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10 мкл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реагента на одно исследование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150 мкл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Измерительные кюветы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сегментов по 10 одноразовых кювет в каждом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Температура инкубации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37°C ±0.5°C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аппликаций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Д-димера</w:t>
            </w:r>
            <w:proofErr w:type="spellEnd"/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гликогемоглобина</w:t>
            </w:r>
            <w:proofErr w:type="spellEnd"/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Наличие, без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пробоподготовки</w:t>
            </w:r>
            <w:proofErr w:type="spellEnd"/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до получения первого анализа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минут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чистоты кювет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Детектор уровня проб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Детектор уровня реагентов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Детектор сгустка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разведение образца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автоматическое;</w:t>
            </w:r>
          </w:p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требованию оператора;</w:t>
            </w:r>
          </w:p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соответствии с программой теста;</w:t>
            </w:r>
          </w:p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серийное разведение калибраторов для нелинейной калибровки.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Автоматический повтор теста 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функции автоматического повтора теста, при выходе результата за технические пределы (линейности)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Калибровка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автоматическая;</w:t>
            </w:r>
          </w:p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требованию; </w:t>
            </w:r>
          </w:p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периодичностью раз в лот, по требованию контроля качества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Наличие. Графическое представление, правила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Вестгарда</w:t>
            </w:r>
            <w:proofErr w:type="spellEnd"/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Считыватель </w:t>
            </w:r>
            <w:proofErr w:type="spellStart"/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штрих-кодов</w:t>
            </w:r>
            <w:proofErr w:type="spellEnd"/>
            <w:proofErr w:type="gramEnd"/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для проб, калибраторов, контролей и реагентов.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Штрих-кодированные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пробы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включения/отключения функции считывателя</w:t>
            </w:r>
            <w:proofErr w:type="gram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штрих-кодированных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проб.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Ионоселективный модуль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возможности установки на анализатор 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анализатором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Встроенный блок управления и обработки данных на основе 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PC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Сенсорный экран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Цветной жидкокристаллический, 5.7” (1/4 VGA, 320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240 пикселей)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Встроенный термальный, ширина бумаги 112 мм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подключения </w:t>
            </w:r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1.40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подключения к компьютеру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Операционная система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LINUX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накопители данных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USB memory stick 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Экспортируемые данные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Экспортируется 3 файла (с результатами пациента, 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QC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результатами и результатами калибровки) в формате .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csv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совместимом с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Excell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1.44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Интерфейсы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1.1/2.0, 2х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обслуживания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мастера: подготовительный мастер, мастер заказов и мастер конца смены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1.46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 воды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2х литров в час.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1.47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системе водоснабжения и сливу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требуется. </w:t>
            </w:r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3 внешних контейнера: для отходов, для воды и для </w:t>
            </w:r>
            <w:proofErr w:type="spell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клинера</w:t>
            </w:r>
            <w:proofErr w:type="spell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1.48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воды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NCCLS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 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1.49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ВА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Габариты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59х55х48 см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кг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Комплект поставки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pStyle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Сетевой шнур переменного тока, 220В</w:t>
            </w:r>
          </w:p>
        </w:tc>
        <w:tc>
          <w:tcPr>
            <w:tcW w:w="4536" w:type="dxa"/>
            <w:vAlign w:val="bottom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Пластиковый вкладыш для реагентов 2х48 </w:t>
            </w:r>
            <w:proofErr w:type="spellStart"/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vAlign w:val="bottom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Документы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pStyle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соответствия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pStyle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на русском языке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Техническая документация </w:t>
            </w:r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русском</w:t>
            </w:r>
            <w:proofErr w:type="gramEnd"/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языке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в Минздраве РФ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медперсонала и 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гарантийные обязательства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медицинского персонала на рабочем месте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CE21B4" w:rsidRPr="003530C2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Гарантийный период на систему, включая все периферическое оборудование</w:t>
            </w:r>
          </w:p>
        </w:tc>
        <w:tc>
          <w:tcPr>
            <w:tcW w:w="4536" w:type="dxa"/>
          </w:tcPr>
          <w:p w:rsidR="00CE21B4" w:rsidRPr="003530C2" w:rsidRDefault="00CE21B4" w:rsidP="00211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месяцев</w:t>
            </w:r>
          </w:p>
        </w:tc>
      </w:tr>
      <w:tr w:rsidR="00CE21B4" w:rsidRPr="00CE21B4" w:rsidTr="0021155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:rsidR="00CE21B4" w:rsidRPr="003530C2" w:rsidRDefault="00CE21B4" w:rsidP="002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сервисной службы фирмы производителя</w:t>
            </w:r>
          </w:p>
        </w:tc>
        <w:tc>
          <w:tcPr>
            <w:tcW w:w="4536" w:type="dxa"/>
          </w:tcPr>
          <w:p w:rsidR="00CE21B4" w:rsidRPr="00CE21B4" w:rsidRDefault="00CE21B4" w:rsidP="00211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  <w:p w:rsidR="00CE21B4" w:rsidRPr="00CE21B4" w:rsidRDefault="00CE21B4" w:rsidP="00211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08B1" w:rsidRDefault="006908B1" w:rsidP="0030289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886BD8" w:rsidRPr="00302893" w:rsidRDefault="00886BD8" w:rsidP="00886BD8">
      <w:pPr>
        <w:spacing w:after="0" w:line="240" w:lineRule="auto"/>
        <w:ind w:left="720"/>
        <w:jc w:val="both"/>
        <w:rPr>
          <w:rFonts w:ascii="Liberation Serif" w:hAnsi="Liberation Serif"/>
          <w:sz w:val="28"/>
          <w:szCs w:val="28"/>
        </w:rPr>
      </w:pPr>
    </w:p>
    <w:p w:rsidR="00302893" w:rsidRPr="00627477" w:rsidRDefault="00302893" w:rsidP="00302893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F80397">
      <w:pgSz w:w="16838" w:h="11906" w:orient="landscape"/>
      <w:pgMar w:top="170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9749C"/>
    <w:multiLevelType w:val="hybridMultilevel"/>
    <w:tmpl w:val="2EBE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BCA"/>
    <w:multiLevelType w:val="hybridMultilevel"/>
    <w:tmpl w:val="6B6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53DB"/>
    <w:multiLevelType w:val="hybridMultilevel"/>
    <w:tmpl w:val="6B6465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4AD0B34"/>
    <w:multiLevelType w:val="hybridMultilevel"/>
    <w:tmpl w:val="6B6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A3060"/>
    <w:multiLevelType w:val="hybridMultilevel"/>
    <w:tmpl w:val="6B6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C19"/>
    <w:rsid w:val="00031887"/>
    <w:rsid w:val="000C03ED"/>
    <w:rsid w:val="000D3ED0"/>
    <w:rsid w:val="00146387"/>
    <w:rsid w:val="002A1096"/>
    <w:rsid w:val="002B564F"/>
    <w:rsid w:val="00302893"/>
    <w:rsid w:val="003145EF"/>
    <w:rsid w:val="003530C2"/>
    <w:rsid w:val="003908EC"/>
    <w:rsid w:val="004A35C7"/>
    <w:rsid w:val="004C0229"/>
    <w:rsid w:val="004E5582"/>
    <w:rsid w:val="00557179"/>
    <w:rsid w:val="00585BDF"/>
    <w:rsid w:val="006908B1"/>
    <w:rsid w:val="006C5374"/>
    <w:rsid w:val="006D6160"/>
    <w:rsid w:val="007202C8"/>
    <w:rsid w:val="0072485A"/>
    <w:rsid w:val="007C7DC1"/>
    <w:rsid w:val="00886BD8"/>
    <w:rsid w:val="008B054C"/>
    <w:rsid w:val="008B52F4"/>
    <w:rsid w:val="008D77C6"/>
    <w:rsid w:val="00984DDC"/>
    <w:rsid w:val="00B01C19"/>
    <w:rsid w:val="00B73BFD"/>
    <w:rsid w:val="00C34299"/>
    <w:rsid w:val="00CE21B4"/>
    <w:rsid w:val="00DB5D5B"/>
    <w:rsid w:val="00E01B73"/>
    <w:rsid w:val="00F14C86"/>
    <w:rsid w:val="00F8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paragraph" w:styleId="1">
    <w:name w:val="heading 1"/>
    <w:basedOn w:val="a"/>
    <w:link w:val="10"/>
    <w:uiPriority w:val="9"/>
    <w:qFormat/>
    <w:rsid w:val="004C0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1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1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uiPriority w:val="34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80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5717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57179"/>
    <w:rPr>
      <w:color w:val="954F72"/>
      <w:u w:val="single"/>
    </w:rPr>
  </w:style>
  <w:style w:type="paragraph" w:customStyle="1" w:styleId="xl63">
    <w:name w:val="xl63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5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57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57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57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9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21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E21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ggdyadin</cp:lastModifiedBy>
  <cp:revision>3</cp:revision>
  <dcterms:created xsi:type="dcterms:W3CDTF">2020-06-05T09:57:00Z</dcterms:created>
  <dcterms:modified xsi:type="dcterms:W3CDTF">2020-06-05T09:58:00Z</dcterms:modified>
</cp:coreProperties>
</file>